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C31" w:rsidRDefault="00BD7C31" w:rsidP="00BD7C31">
      <w:r>
        <w:t xml:space="preserve">Michael </w:t>
      </w:r>
      <w:proofErr w:type="spellStart"/>
      <w:r>
        <w:t>Riewer</w:t>
      </w:r>
      <w:proofErr w:type="spellEnd"/>
      <w:r w:rsidR="00EB5A19">
        <w:t xml:space="preserve">, Chris </w:t>
      </w:r>
      <w:proofErr w:type="spellStart"/>
      <w:r w:rsidR="00EB5A19">
        <w:t>Danzl</w:t>
      </w:r>
      <w:proofErr w:type="spellEnd"/>
      <w:r w:rsidR="00EB5A19">
        <w:t xml:space="preserve">, Mustafa </w:t>
      </w:r>
      <w:proofErr w:type="spellStart"/>
      <w:r w:rsidR="00EB5A19">
        <w:t>Alnass</w:t>
      </w:r>
      <w:proofErr w:type="spellEnd"/>
    </w:p>
    <w:p w:rsidR="00BD7C31" w:rsidRDefault="00EB5A19" w:rsidP="00BD7C31">
      <w:r>
        <w:t>5/4</w:t>
      </w:r>
      <w:r w:rsidR="00BD7C31">
        <w:t>/2010</w:t>
      </w:r>
    </w:p>
    <w:p w:rsidR="00BD7C31" w:rsidRDefault="00EB5A19" w:rsidP="00EB5A19">
      <w:pPr>
        <w:jc w:val="center"/>
      </w:pPr>
      <w:r>
        <w:t>Methods of Wireless Energy Transfer</w:t>
      </w:r>
    </w:p>
    <w:p w:rsidR="00BD7C31" w:rsidRDefault="00BD7C31" w:rsidP="00BD7C31">
      <w:r>
        <w:t>INTRODUCTION</w:t>
      </w:r>
    </w:p>
    <w:p w:rsidR="00BD7C31" w:rsidRDefault="00BD7C31" w:rsidP="00BD7C31">
      <w:r>
        <w:tab/>
        <w:t xml:space="preserve">Since the early 1900’s and the invention of electricity, Nikolas Tesla experimented with the idea of wireless transmitting energy rather than using an electric grid. Stating that an electric grid would have many losses, he created the Tesla Tower. However, his methods developed large undesirable electric fields. Recently there has been an increase in independent electrical devices such as cell phones, laptops, and PDA’s. These devices all require recharging at some point and thus have created an interest in wireless energy transfer once again. A group from the </w:t>
      </w:r>
      <w:r w:rsidR="00EB5A19">
        <w:t>Massachusetts</w:t>
      </w:r>
      <w:r>
        <w:t xml:space="preserve"> Institute of Technology has created a means for wireless energy called Magnetic Resonance Coupling. They have named this technique </w:t>
      </w:r>
      <w:r w:rsidR="00EB5A19">
        <w:t>Witricity</w:t>
      </w:r>
      <w:r>
        <w:t xml:space="preserve"> and have founded Witricity Corp. to add this technique into various products.  This paper will discuss the </w:t>
      </w:r>
      <w:r w:rsidR="00DC17FA">
        <w:t xml:space="preserve">methods of wireless energy transfer available now and the theory behind them. Then will continue by discussing the differences between them. </w:t>
      </w:r>
    </w:p>
    <w:p w:rsidR="00BD7C31" w:rsidRDefault="00BD7C31" w:rsidP="00BD7C31">
      <w:r>
        <w:t>TRADITIONAL MAGNETIC INDUCTION</w:t>
      </w:r>
    </w:p>
    <w:p w:rsidR="00BD7C31" w:rsidRDefault="00BD7C31" w:rsidP="00BD7C31">
      <w:pPr>
        <w:ind w:firstLine="720"/>
      </w:pPr>
      <w:r>
        <w:t>A transformer transfers electrical energy from one circuit to another through inductively coupled conductors, the transformers coils.</w:t>
      </w:r>
      <w:r w:rsidR="00F23F77">
        <w:t xml:space="preserve"> Faraday’s Law of Induction played a big role in getting transformers started. The law states that a changing electrical current can produce a magnetic field and this changing magnetic field within a coil of wire induces a voltage in the secondary coil.</w:t>
      </w:r>
      <w:r>
        <w:t xml:space="preserve"> Varying a current in the primary windings of the transformer creates a varying magnetic flux in the core of the transformer. From this a varying magnetic field is produced through the secondary windings. This magnetic field in the secondary windings induces a varying EMF (electromagnetic force) aka “voltage” in this secondary winding. This effect is known as mutual inductance.</w:t>
      </w:r>
    </w:p>
    <w:p w:rsidR="00BD7C31" w:rsidRDefault="00BD7C31" w:rsidP="00BD7C31">
      <w:r>
        <w:tab/>
        <w:t>If a load is attached to the secondary windings then a current will also be produced. Electrical energy will then be transferred from the primary circuit to the load, through the transformer. For an ideal transformer the ratio of voltage between the secondary and primary will equal the ratio of turns in the secondary and primary windings, respectively. Vs/</w:t>
      </w:r>
      <w:proofErr w:type="spellStart"/>
      <w:r>
        <w:t>Vp</w:t>
      </w:r>
      <w:proofErr w:type="spellEnd"/>
      <w:r>
        <w:t>=Ns/</w:t>
      </w:r>
      <w:proofErr w:type="spellStart"/>
      <w:r>
        <w:t>Np</w:t>
      </w:r>
      <w:proofErr w:type="spellEnd"/>
      <w:r>
        <w:t xml:space="preserve">. From this finding an AC voltage can be “stepped up” or “stepped down”, depending on Ns and </w:t>
      </w:r>
      <w:proofErr w:type="spellStart"/>
      <w:r>
        <w:t>Np</w:t>
      </w:r>
      <w:proofErr w:type="spellEnd"/>
      <w:r>
        <w:t>.</w:t>
      </w:r>
    </w:p>
    <w:p w:rsidR="00BD7C31" w:rsidRDefault="00BD7C31" w:rsidP="00BD7C31">
      <w:r>
        <w:tab/>
        <w:t>Most transformers have their windings, usually coils, wound around a ferromagnetic core. This core is a piece of magnetic material with high permeability used to confine and guide magnetic fields in electrical devices.</w:t>
      </w:r>
    </w:p>
    <w:p w:rsidR="00BD7C31" w:rsidRDefault="00BD7C31" w:rsidP="00BD7C31">
      <w:r>
        <w:tab/>
        <w:t xml:space="preserve">Transformers have multiple ways of energy loss to occur. Some of these include winding resistance, hysteresis, eddy currents, </w:t>
      </w:r>
      <w:proofErr w:type="spellStart"/>
      <w:r>
        <w:t>magnetostriction</w:t>
      </w:r>
      <w:proofErr w:type="spellEnd"/>
      <w:r>
        <w:t xml:space="preserve">, mechanical losses, and other stray losses. These losses, however, are usually small. Another disadvantage is the fact that your coils from the primary and secondary must be very close to one another, otherwise the magnetic fields dissipate too much. As distance is increased the loss of energy from one coil to another is also increased. On the other hand, </w:t>
      </w:r>
      <w:r>
        <w:lastRenderedPageBreak/>
        <w:t xml:space="preserve">traditional magnetic induction does not rely on a resonance frequency to transfer energy. Thus, any frequency can be used to transfer energy. </w:t>
      </w:r>
    </w:p>
    <w:p w:rsidR="00BD7C31" w:rsidRDefault="00BD7C31" w:rsidP="00BD7C31">
      <w:r>
        <w:tab/>
        <w:t xml:space="preserve">Some major applications of transformers come from the ability to transfer electrical energy and step up or step down currents and voltages. The amount of power transferred with traditional magnetic induction can be from </w:t>
      </w:r>
      <w:proofErr w:type="spellStart"/>
      <w:r>
        <w:t>mW</w:t>
      </w:r>
      <w:proofErr w:type="spellEnd"/>
      <w:r>
        <w:t xml:space="preserve"> to kW, and can be transferred thru any medium which a magnetic field can travel through. </w:t>
      </w:r>
    </w:p>
    <w:p w:rsidR="00BD7C31" w:rsidRDefault="00BD7C31" w:rsidP="00BD7C31">
      <w:r>
        <w:t>THEORY OF WITRICITY</w:t>
      </w:r>
    </w:p>
    <w:p w:rsidR="00BD7C31" w:rsidRDefault="00BD7C31" w:rsidP="00BD7C31">
      <w:pPr>
        <w:rPr>
          <w:sz w:val="24"/>
          <w:szCs w:val="24"/>
        </w:rPr>
      </w:pPr>
      <w:r>
        <w:tab/>
      </w:r>
      <w:r>
        <w:rPr>
          <w:sz w:val="24"/>
          <w:szCs w:val="24"/>
        </w:rPr>
        <w:tab/>
        <w:t xml:space="preserve">Magnetic resonant coupling is similar to traditional magnetic induction (transformers) but uses the idea of resonance to extend the range of energy transfer. </w:t>
      </w:r>
      <w:r w:rsidR="00EB5A19">
        <w:rPr>
          <w:sz w:val="24"/>
          <w:szCs w:val="24"/>
        </w:rPr>
        <w:t xml:space="preserve">This resonance can be tuned using capacitors on both the transmitter and receiver. </w:t>
      </w:r>
      <w:r>
        <w:rPr>
          <w:sz w:val="24"/>
          <w:szCs w:val="24"/>
        </w:rPr>
        <w:t>Traditional magnetic induction has a range of only a few mm between antennae and receiver, but with resonance, the range can be extended to over seven feet and possibly further. The basis of Faraday’s law is still the foundation of this method of energy transfer. But, resonance is a frequency at which energy can be added to an oscillating system at greatest efficiency. When a singer shatters a wine glass, it shatters at resonance. The oscillating wine glass continues to gather energy at resonance until it shatters.</w:t>
      </w:r>
    </w:p>
    <w:p w:rsidR="00BD7C31" w:rsidRDefault="00BD7C31" w:rsidP="00BD7C31">
      <w:pPr>
        <w:rPr>
          <w:rFonts w:eastAsiaTheme="minorEastAsia"/>
          <w:sz w:val="24"/>
          <w:szCs w:val="24"/>
        </w:rPr>
      </w:pPr>
      <w:r>
        <w:rPr>
          <w:sz w:val="24"/>
          <w:szCs w:val="24"/>
        </w:rPr>
        <w:tab/>
        <w:t>Resonance occurs within this wireless energy transfer system when both the receiver and antennae have the same resonant frequency, which can be represented as</w:t>
      </w:r>
      <w:proofErr w:type="gramStart"/>
      <w:r>
        <w:rPr>
          <w:sz w:val="24"/>
          <w:szCs w:val="24"/>
        </w:rPr>
        <w:t xml:space="preserve">, </w:t>
      </w:r>
      <m:oMath>
        <w:proofErr w:type="gramEnd"/>
        <m:r>
          <w:rPr>
            <w:rFonts w:ascii="Cambria Math" w:hAnsi="Cambria Math"/>
            <w:sz w:val="24"/>
            <w:szCs w:val="24"/>
          </w:rPr>
          <m:t>ω =</m:t>
        </m:r>
        <m:f>
          <m:fPr>
            <m:ctrlPr>
              <w:rPr>
                <w:rFonts w:ascii="Cambria Math" w:hAnsi="Cambria Math"/>
                <w:i/>
                <w:sz w:val="24"/>
                <w:szCs w:val="24"/>
              </w:rPr>
            </m:ctrlPr>
          </m:fPr>
          <m:num>
            <m:r>
              <w:rPr>
                <w:rFonts w:ascii="Cambria Math" w:hAnsi="Cambria Math"/>
                <w:sz w:val="24"/>
                <w:szCs w:val="24"/>
              </w:rPr>
              <m:t>1</m:t>
            </m:r>
          </m:num>
          <m:den>
            <m:rad>
              <m:radPr>
                <m:degHide m:val="on"/>
                <m:ctrlPr>
                  <w:rPr>
                    <w:rFonts w:ascii="Cambria Math" w:hAnsi="Cambria Math"/>
                    <w:i/>
                    <w:sz w:val="24"/>
                    <w:szCs w:val="24"/>
                  </w:rPr>
                </m:ctrlPr>
              </m:radPr>
              <m:deg/>
              <m:e>
                <m:r>
                  <w:rPr>
                    <w:rFonts w:ascii="Cambria Math" w:hAnsi="Cambria Math"/>
                    <w:sz w:val="24"/>
                    <w:szCs w:val="24"/>
                  </w:rPr>
                  <m:t xml:space="preserve">L1C1 </m:t>
                </m:r>
              </m:e>
            </m:rad>
          </m:den>
        </m:f>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sz w:val="24"/>
                <w:szCs w:val="24"/>
              </w:rPr>
              <m:t>1</m:t>
            </m:r>
          </m:num>
          <m:den>
            <m:rad>
              <m:radPr>
                <m:degHide m:val="on"/>
                <m:ctrlPr>
                  <w:rPr>
                    <w:rFonts w:ascii="Cambria Math" w:hAnsi="Cambria Math"/>
                    <w:i/>
                    <w:sz w:val="24"/>
                    <w:szCs w:val="24"/>
                  </w:rPr>
                </m:ctrlPr>
              </m:radPr>
              <m:deg/>
              <m:e>
                <m:r>
                  <w:rPr>
                    <w:rFonts w:ascii="Cambria Math" w:hAnsi="Cambria Math"/>
                    <w:sz w:val="24"/>
                    <w:szCs w:val="24"/>
                  </w:rPr>
                  <m:t>L2C2</m:t>
                </m:r>
              </m:e>
            </m:rad>
          </m:den>
        </m:f>
      </m:oMath>
      <w:r>
        <w:rPr>
          <w:rFonts w:eastAsiaTheme="minorEastAsia"/>
          <w:sz w:val="24"/>
          <w:szCs w:val="24"/>
        </w:rPr>
        <w:t>. Where L1 and C1 are the inductance and capacitance of the receiver and L2 and C2 is the inductance and capacitance of the antennae. With optimum resonant frequency, an efficiency of 40 percent was ac</w:t>
      </w:r>
      <w:r w:rsidR="00F23F77">
        <w:rPr>
          <w:rFonts w:eastAsiaTheme="minorEastAsia"/>
          <w:sz w:val="24"/>
          <w:szCs w:val="24"/>
        </w:rPr>
        <w:t xml:space="preserve">hieved at a distance of 7 feet with a transfer of 60 W. </w:t>
      </w:r>
    </w:p>
    <w:p w:rsidR="00E25E31" w:rsidRDefault="00E25E31" w:rsidP="00BD7C31">
      <w:pPr>
        <w:rPr>
          <w:rFonts w:eastAsiaTheme="minorEastAsia"/>
          <w:sz w:val="24"/>
          <w:szCs w:val="24"/>
        </w:rPr>
      </w:pPr>
      <w:r w:rsidRPr="00E25E31">
        <w:rPr>
          <w:rFonts w:eastAsiaTheme="minorEastAsia"/>
          <w:noProof/>
          <w:sz w:val="24"/>
          <w:szCs w:val="24"/>
          <w:lang w:eastAsia="zh-TW"/>
        </w:rPr>
        <w:lastRenderedPageBreak/>
        <w:pict>
          <v:rect id="_x0000_s1026" style="position:absolute;margin-left:397.8pt;margin-top:75.75pt;width:176.7pt;height:231pt;flip:x;z-index:251660288;mso-wrap-distance-top:7.2pt;mso-wrap-distance-bottom:7.2pt;mso-position-horizontal-relative:page;mso-position-vertical-relative:page;mso-height-relative:margin" o:allowincell="f" fillcolor="#4f81bd [3204]" stroked="f" strokecolor="black [3213]" strokeweight="1.5pt">
            <v:shadow color="#f79646 [3209]" opacity=".5" offset="-15pt,0" offset2="-18pt,12pt"/>
            <v:textbox style="mso-next-textbox:#_x0000_s1026" inset="21.6pt,21.6pt,21.6pt,21.6pt">
              <w:txbxContent>
                <w:p w:rsidR="00E25E31" w:rsidRPr="00E25E31" w:rsidRDefault="00E25E31" w:rsidP="00E25E31">
                  <w:pPr>
                    <w:rPr>
                      <w:color w:val="FFFFFF" w:themeColor="background1"/>
                    </w:rPr>
                  </w:pPr>
                  <w:r w:rsidRPr="00E25E31">
                    <w:rPr>
                      <w:color w:val="FFFFFF" w:themeColor="background1"/>
                    </w:rPr>
                    <w:t xml:space="preserve">Figure to the left shows current through a circuit with a capacitance of 100 Pico Farads, an inductance </w:t>
                  </w:r>
                  <w:proofErr w:type="gramStart"/>
                  <w:r w:rsidRPr="00E25E31">
                    <w:rPr>
                      <w:color w:val="FFFFFF" w:themeColor="background1"/>
                    </w:rPr>
                    <w:t>of 66 micro</w:t>
                  </w:r>
                  <w:proofErr w:type="gramEnd"/>
                  <w:r w:rsidRPr="00E25E31">
                    <w:rPr>
                      <w:color w:val="FFFFFF" w:themeColor="background1"/>
                    </w:rPr>
                    <w:t xml:space="preserve"> Henry’s and a resistance of 1 ohm with 10 volts applied. With these values the resonance frequency should be about 1.96 </w:t>
                  </w:r>
                  <w:proofErr w:type="spellStart"/>
                  <w:r w:rsidRPr="00E25E31">
                    <w:rPr>
                      <w:color w:val="FFFFFF" w:themeColor="background1"/>
                    </w:rPr>
                    <w:t>MHz</w:t>
                  </w:r>
                  <w:r>
                    <w:rPr>
                      <w:color w:val="FFFFFF" w:themeColor="background1"/>
                    </w:rPr>
                    <w:t>.</w:t>
                  </w:r>
                  <w:proofErr w:type="spellEnd"/>
                  <w:r w:rsidRPr="00E25E31">
                    <w:rPr>
                      <w:color w:val="FFFFFF" w:themeColor="background1"/>
                    </w:rPr>
                    <w:t xml:space="preserve"> The graphs both show this value to be correct using MATLAB.</w:t>
                  </w:r>
                </w:p>
              </w:txbxContent>
            </v:textbox>
            <w10:wrap type="square" anchorx="page" anchory="page"/>
          </v:rect>
        </w:pict>
      </w:r>
      <w:r w:rsidRPr="00E25E31">
        <w:rPr>
          <w:rFonts w:eastAsiaTheme="minorEastAsia"/>
          <w:sz w:val="24"/>
          <w:szCs w:val="24"/>
        </w:rPr>
        <w:drawing>
          <wp:inline distT="0" distB="0" distL="0" distR="0">
            <wp:extent cx="4040188" cy="3030141"/>
            <wp:effectExtent l="19050" t="0" r="0" b="0"/>
            <wp:docPr id="1" name="Picture 1" descr="resonancefreq2.jpeg"/>
            <wp:cNvGraphicFramePr/>
            <a:graphic xmlns:a="http://schemas.openxmlformats.org/drawingml/2006/main">
              <a:graphicData uri="http://schemas.openxmlformats.org/drawingml/2006/picture">
                <pic:pic xmlns:pic="http://schemas.openxmlformats.org/drawingml/2006/picture">
                  <pic:nvPicPr>
                    <pic:cNvPr id="7" name="Content Placeholder 6" descr="resonancefreq2.jpeg"/>
                    <pic:cNvPicPr>
                      <a:picLocks noGrp="1" noChangeAspect="1"/>
                    </pic:cNvPicPr>
                  </pic:nvPicPr>
                  <pic:blipFill>
                    <a:blip r:embed="rId5" cstate="print"/>
                    <a:stretch>
                      <a:fillRect/>
                    </a:stretch>
                  </pic:blipFill>
                  <pic:spPr>
                    <a:xfrm>
                      <a:off x="0" y="0"/>
                      <a:ext cx="4040188" cy="3030141"/>
                    </a:xfrm>
                    <a:prstGeom prst="rect">
                      <a:avLst/>
                    </a:prstGeom>
                    <a:ln>
                      <a:noFill/>
                      <a:prstDash val="sysDash"/>
                      <a:miter lim="800000"/>
                    </a:ln>
                  </pic:spPr>
                </pic:pic>
              </a:graphicData>
            </a:graphic>
          </wp:inline>
        </w:drawing>
      </w:r>
    </w:p>
    <w:p w:rsidR="00BD7C31" w:rsidRPr="00EB5A19" w:rsidRDefault="00BD7C31">
      <w:pPr>
        <w:rPr>
          <w:rFonts w:eastAsiaTheme="minorEastAsia"/>
          <w:sz w:val="24"/>
          <w:szCs w:val="24"/>
        </w:rPr>
      </w:pPr>
      <w:r>
        <w:rPr>
          <w:rFonts w:eastAsiaTheme="minorEastAsia"/>
          <w:sz w:val="24"/>
          <w:szCs w:val="24"/>
        </w:rPr>
        <w:tab/>
        <w:t>Another important variable to efficient wireless transfer is a strong coupling between antennae and receiver which is represented by</w:t>
      </w:r>
      <w:proofErr w:type="gramStart"/>
      <w:r>
        <w:rPr>
          <w:rFonts w:eastAsiaTheme="minorEastAsia"/>
          <w:sz w:val="24"/>
          <w:szCs w:val="24"/>
        </w:rPr>
        <w:t xml:space="preserve">, </w:t>
      </w:r>
      <m:oMath>
        <w:proofErr w:type="gramEnd"/>
        <m:f>
          <m:fPr>
            <m:ctrlPr>
              <w:rPr>
                <w:rFonts w:ascii="Cambria Math" w:eastAsiaTheme="minorEastAsia" w:hAnsi="Cambria Math"/>
                <w:i/>
                <w:sz w:val="24"/>
                <w:szCs w:val="24"/>
              </w:rPr>
            </m:ctrlPr>
          </m:fPr>
          <m:num>
            <m:r>
              <w:rPr>
                <w:rFonts w:ascii="Cambria Math" w:eastAsiaTheme="minorEastAsia" w:hAnsi="Cambria Math"/>
                <w:sz w:val="24"/>
                <w:szCs w:val="24"/>
              </w:rPr>
              <m:t>k</m:t>
            </m:r>
          </m:num>
          <m:den>
            <m:rad>
              <m:radPr>
                <m:degHide m:val="on"/>
                <m:ctrlPr>
                  <w:rPr>
                    <w:rFonts w:ascii="Cambria Math" w:eastAsiaTheme="minorEastAsia" w:hAnsi="Cambria Math"/>
                    <w:i/>
                    <w:sz w:val="24"/>
                    <w:szCs w:val="24"/>
                  </w:rPr>
                </m:ctrlPr>
              </m:radPr>
              <m:deg/>
              <m:e>
                <m:r>
                  <m:rPr>
                    <m:sty m:val="p"/>
                  </m:rPr>
                  <w:rPr>
                    <w:rFonts w:ascii="Cambria Math" w:eastAsiaTheme="minorEastAsia" w:hAnsi="Cambria Math"/>
                    <w:sz w:val="24"/>
                    <w:szCs w:val="24"/>
                  </w:rPr>
                  <m:t>Γ1*Γ2</m:t>
                </m:r>
              </m:e>
            </m:rad>
          </m:den>
        </m:f>
        <m:r>
          <w:rPr>
            <w:rFonts w:ascii="Cambria Math" w:eastAsiaTheme="minorEastAsia" w:hAnsi="Cambria Math"/>
            <w:sz w:val="24"/>
            <w:szCs w:val="24"/>
          </w:rPr>
          <m:t xml:space="preserve"> ≫1</m:t>
        </m:r>
      </m:oMath>
      <w:r>
        <w:rPr>
          <w:rFonts w:eastAsiaTheme="minorEastAsia"/>
          <w:sz w:val="24"/>
          <w:szCs w:val="24"/>
        </w:rPr>
        <w:t xml:space="preserve">. Where k is the coupling coefficient and Γ is the resonant width due to the objects intrinsic losses. The coupling coefficient, k, can be estimated by the fractions of magnetic flux between each coil. This energy transfer application also performs optimally with high values of Q, where </w:t>
      </w:r>
      <m:oMath>
        <m:r>
          <m:rPr>
            <m:scr m:val="script"/>
          </m:rPr>
          <w:rPr>
            <w:rFonts w:ascii="Cambria Math" w:eastAsiaTheme="minorEastAsia" w:hAnsi="Cambria Math"/>
            <w:sz w:val="24"/>
            <w:szCs w:val="24"/>
          </w:rPr>
          <m:t>Q=</m:t>
        </m:r>
        <m:f>
          <m:fPr>
            <m:ctrlPr>
              <w:rPr>
                <w:rFonts w:ascii="Cambria Math" w:eastAsiaTheme="minorEastAsia" w:hAnsi="Cambria Math"/>
                <w:i/>
                <w:sz w:val="24"/>
                <w:szCs w:val="24"/>
              </w:rPr>
            </m:ctrlPr>
          </m:fPr>
          <m:num>
            <m:r>
              <w:rPr>
                <w:rFonts w:ascii="Cambria Math" w:eastAsiaTheme="minorEastAsia" w:hAnsi="Cambria Math"/>
                <w:sz w:val="24"/>
                <w:szCs w:val="24"/>
              </w:rPr>
              <m:t>ω</m:t>
            </m:r>
          </m:num>
          <m:den>
            <m:r>
              <w:rPr>
                <w:rFonts w:ascii="Cambria Math" w:eastAsiaTheme="minorEastAsia" w:hAnsi="Cambria Math"/>
                <w:sz w:val="24"/>
                <w:szCs w:val="24"/>
              </w:rPr>
              <m:t>2</m:t>
            </m:r>
            <m:r>
              <m:rPr>
                <m:sty m:val="p"/>
              </m:rPr>
              <w:rPr>
                <w:rFonts w:ascii="Cambria Math" w:eastAsiaTheme="minorEastAsia" w:hAnsi="Cambria Math"/>
                <w:sz w:val="24"/>
                <w:szCs w:val="24"/>
              </w:rPr>
              <m:t>Γ</m:t>
            </m:r>
            <m:ctrlPr>
              <w:rPr>
                <w:rFonts w:ascii="Cambria Math" w:eastAsiaTheme="minorEastAsia" w:hAnsi="Cambria Math"/>
                <w:sz w:val="24"/>
                <w:szCs w:val="24"/>
              </w:rPr>
            </m:ctrlPr>
          </m:den>
        </m:f>
        <m:r>
          <w:rPr>
            <w:rFonts w:ascii="Cambria Math" w:eastAsiaTheme="minorEastAsia" w:hAnsi="Cambria Math"/>
            <w:sz w:val="24"/>
            <w:szCs w:val="24"/>
          </w:rPr>
          <m:t>.</m:t>
        </m:r>
      </m:oMath>
      <w:r>
        <w:rPr>
          <w:rFonts w:eastAsiaTheme="minorEastAsia"/>
          <w:sz w:val="24"/>
          <w:szCs w:val="24"/>
        </w:rPr>
        <w:t xml:space="preserve"> </w:t>
      </w:r>
    </w:p>
    <w:p w:rsidR="00EB5A19" w:rsidRDefault="00BD7C31">
      <w:r>
        <w:t>RADIO FREQUENCY IDENTIFICATION TAGS (RFID’s)</w:t>
      </w:r>
    </w:p>
    <w:p w:rsidR="00531536" w:rsidRDefault="00531536">
      <w:r>
        <w:tab/>
        <w:t>There are two types of RFID’s, passive and active. We are less concerned about active tags in this pape</w:t>
      </w:r>
      <w:r w:rsidR="00DC6A2A">
        <w:t xml:space="preserve">r because they contain a battery </w:t>
      </w:r>
      <w:r>
        <w:t>on the</w:t>
      </w:r>
      <w:r w:rsidR="00DC6A2A">
        <w:t xml:space="preserve"> receiver and are less similar to the Witricity method of transmitting energy. The passive tags, however, are similar to the Witricity method of transmitting energy. </w:t>
      </w:r>
      <w:r w:rsidR="0073746C">
        <w:t xml:space="preserve">The basis of Radio Frequency is still similar to transforms in the fact that alternating current induces magnetic field which can be transferred back to voltage on a secondary coil or receiver. </w:t>
      </w:r>
    </w:p>
    <w:p w:rsidR="0002108B" w:rsidRDefault="00DC6A2A" w:rsidP="0002108B">
      <w:pPr>
        <w:rPr>
          <w:rFonts w:eastAsiaTheme="minorEastAsia"/>
        </w:rPr>
      </w:pPr>
      <w:r>
        <w:tab/>
        <w:t>A RFID works as follows. The “reader” or the transmitter sends power to the receiver or “tag” and then the tag sends data and information back to the reader.</w:t>
      </w:r>
      <w:r w:rsidR="0002108B">
        <w:t xml:space="preserve"> The power sent can be related to this equation. </w:t>
      </w:r>
      <m:oMath>
        <m:r>
          <w:rPr>
            <w:rFonts w:ascii="Cambria Math" w:hAnsi="Cambria Math" w:cs="Cambria Math"/>
          </w:rPr>
          <m:t>Pt</m:t>
        </m:r>
        <m:r>
          <m:rPr>
            <m:sty m:val="p"/>
          </m:rPr>
          <w:rPr>
            <w:rFonts w:ascii="Cambria Math" w:hAnsi="Cambria Math" w:cs="Cambria Math"/>
          </w:rPr>
          <m:t>=</m:t>
        </m:r>
        <m:f>
          <m:fPr>
            <m:ctrlPr>
              <w:rPr>
                <w:rFonts w:ascii="Cambria Math" w:hAnsi="Cambria Math"/>
              </w:rPr>
            </m:ctrlPr>
          </m:fPr>
          <m:num>
            <m:r>
              <m:rPr>
                <m:sty m:val="p"/>
              </m:rPr>
              <w:rPr>
                <w:rFonts w:ascii="Cambria Math" w:hAnsi="Cambria Math"/>
              </w:rPr>
              <m:t>Pr*Gr*Gt*λ^2*q</m:t>
            </m:r>
          </m:num>
          <m:den>
            <m:r>
              <m:rPr>
                <m:sty m:val="p"/>
              </m:rPr>
              <w:rPr>
                <w:rFonts w:ascii="Cambria Math" w:hAnsi="Cambria Math"/>
              </w:rPr>
              <m:t>(</m:t>
            </m:r>
            <m:sSup>
              <m:sSupPr>
                <m:ctrlPr>
                  <w:rPr>
                    <w:rFonts w:ascii="Cambria Math" w:hAnsi="Cambria Math"/>
                  </w:rPr>
                </m:ctrlPr>
              </m:sSupPr>
              <m:e>
                <m:r>
                  <m:rPr>
                    <m:sty m:val="p"/>
                  </m:rPr>
                  <w:rPr>
                    <w:rFonts w:ascii="Cambria Math" w:hAnsi="Cambria Math"/>
                  </w:rPr>
                  <m:t>4 π R)</m:t>
                </m:r>
              </m:e>
              <m:sup>
                <m:r>
                  <m:rPr>
                    <m:sty m:val="p"/>
                  </m:rPr>
                  <w:rPr>
                    <w:rFonts w:ascii="Cambria Math" w:hAnsi="Cambria Math"/>
                  </w:rPr>
                  <m:t>2</m:t>
                </m:r>
              </m:sup>
            </m:sSup>
          </m:den>
        </m:f>
        <m:r>
          <m:rPr>
            <m:sty m:val="p"/>
          </m:rPr>
          <w:rPr>
            <w:rFonts w:ascii="Cambria Math" w:hAnsi="Cambria Math"/>
          </w:rPr>
          <m:t xml:space="preserve">    Friis Transmission Eq.</m:t>
        </m:r>
      </m:oMath>
      <w:r w:rsidR="0002108B">
        <w:rPr>
          <w:rFonts w:eastAsiaTheme="minorEastAsia"/>
        </w:rPr>
        <w:t xml:space="preserve">  </w:t>
      </w:r>
      <w:r w:rsidR="0073746C">
        <w:t>The power received at the tag can be related to</w:t>
      </w:r>
      <w:proofErr w:type="gramStart"/>
      <w:r w:rsidR="0073746C">
        <w:t xml:space="preserve">, </w:t>
      </w:r>
      <w:r w:rsidR="0002108B">
        <w:t xml:space="preserve"> </w:t>
      </w:r>
      <m:oMath>
        <w:proofErr w:type="gramEnd"/>
        <m:r>
          <w:rPr>
            <w:rFonts w:ascii="Cambria Math" w:hAnsi="Cambria Math"/>
          </w:rPr>
          <m:t>Pt=Ae*S</m:t>
        </m:r>
      </m:oMath>
      <w:r w:rsidR="0002108B">
        <w:rPr>
          <w:rFonts w:eastAsiaTheme="minorEastAsia"/>
        </w:rPr>
        <w:t>.</w:t>
      </w:r>
    </w:p>
    <w:p w:rsidR="00DC6A2A" w:rsidRDefault="00DC6A2A" w:rsidP="007D6CEA">
      <w:pPr>
        <w:ind w:firstLine="360"/>
      </w:pPr>
      <w:r>
        <w:t xml:space="preserve">RFID’s can operate at many different frequencies based on resonance of both the </w:t>
      </w:r>
      <w:r w:rsidR="000E3E45">
        <w:t>antennae</w:t>
      </w:r>
      <w:r w:rsidR="0073746C">
        <w:t xml:space="preserve"> and receiver. They can send </w:t>
      </w:r>
      <w:proofErr w:type="spellStart"/>
      <w:r w:rsidR="0073746C">
        <w:t>mW</w:t>
      </w:r>
      <w:proofErr w:type="spellEnd"/>
      <w:r>
        <w:t xml:space="preserve"> amount of power and the design of the tag relies heavily on the distance between tag and reader. </w:t>
      </w:r>
      <w:r w:rsidR="000E3E45">
        <w:t>The RFID works in the near field which is dominated by a magnetic field from the reader. Thi</w:t>
      </w:r>
      <w:r w:rsidR="007D6CEA">
        <w:t>s field can be a distance from 2 – 3 feet with high frequency signals (13 MHz)</w:t>
      </w:r>
      <w:r w:rsidR="000E3E45">
        <w:t xml:space="preserve">. </w:t>
      </w:r>
      <w:r w:rsidR="007D6CEA">
        <w:t xml:space="preserve">A range of </w:t>
      </w:r>
      <w:r w:rsidR="007D6CEA">
        <w:lastRenderedPageBreak/>
        <w:t xml:space="preserve">20 – 25 feet can be achieved with UHF signals. </w:t>
      </w:r>
      <w:r w:rsidR="00133E8C">
        <w:t>This range is determined by this equation</w:t>
      </w:r>
      <w:proofErr w:type="gramStart"/>
      <w:r w:rsidR="00133E8C">
        <w:t xml:space="preserve">, </w:t>
      </w:r>
      <m:oMath>
        <w:proofErr w:type="gramEnd"/>
        <m:r>
          <w:rPr>
            <w:rFonts w:ascii="Cambria Math" w:hAnsi="Cambria Math"/>
          </w:rPr>
          <m:t>r(max)=</m:t>
        </m:r>
        <m:f>
          <m:fPr>
            <m:ctrlPr>
              <w:rPr>
                <w:rFonts w:ascii="Cambria Math" w:hAnsi="Cambria Math"/>
                <w:i/>
              </w:rPr>
            </m:ctrlPr>
          </m:fPr>
          <m:num>
            <m:r>
              <w:rPr>
                <w:rFonts w:ascii="Cambria Math" w:hAnsi="Cambria Math"/>
              </w:rPr>
              <m:t>λ</m:t>
            </m:r>
          </m:num>
          <m:den>
            <m:r>
              <w:rPr>
                <w:rFonts w:ascii="Cambria Math" w:hAnsi="Cambria Math"/>
              </w:rPr>
              <m:t>4π</m:t>
            </m:r>
          </m:den>
        </m:f>
        <m:r>
          <w:rPr>
            <w:rFonts w:ascii="Cambria Math" w:hAnsi="Cambria Math"/>
          </w:rPr>
          <m:t>*</m:t>
        </m:r>
        <m:rad>
          <m:radPr>
            <m:degHide m:val="on"/>
            <m:ctrlPr>
              <w:rPr>
                <w:rFonts w:ascii="Cambria Math" w:hAnsi="Cambria Math"/>
                <w:i/>
              </w:rPr>
            </m:ctrlPr>
          </m:radPr>
          <m:deg/>
          <m:e>
            <m:f>
              <m:fPr>
                <m:ctrlPr>
                  <w:rPr>
                    <w:rFonts w:ascii="Cambria Math" w:hAnsi="Cambria Math"/>
                    <w:i/>
                  </w:rPr>
                </m:ctrlPr>
              </m:fPr>
              <m:num>
                <m:r>
                  <w:rPr>
                    <w:rFonts w:ascii="Cambria Math" w:hAnsi="Cambria Math"/>
                  </w:rPr>
                  <m:t>q*Gr*Gt*</m:t>
                </m:r>
                <m:func>
                  <m:funcPr>
                    <m:ctrlPr>
                      <w:rPr>
                        <w:rFonts w:ascii="Cambria Math" w:hAnsi="Cambria Math"/>
                      </w:rPr>
                    </m:ctrlPr>
                  </m:funcPr>
                  <m:fName>
                    <m:r>
                      <m:rPr>
                        <m:sty m:val="p"/>
                      </m:rPr>
                      <w:rPr>
                        <w:rFonts w:ascii="Cambria Math" w:hAnsi="Cambria Math"/>
                      </w:rPr>
                      <m:t>Pr</m:t>
                    </m:r>
                  </m:fName>
                  <m:e/>
                </m:func>
              </m:num>
              <m:den>
                <m:r>
                  <w:rPr>
                    <w:rFonts w:ascii="Cambria Math" w:hAnsi="Cambria Math"/>
                  </w:rPr>
                  <m:t>Pth</m:t>
                </m:r>
              </m:den>
            </m:f>
          </m:e>
        </m:rad>
      </m:oMath>
      <w:r w:rsidR="007D6CEA">
        <w:rPr>
          <w:rFonts w:eastAsiaTheme="minorEastAsia"/>
        </w:rPr>
        <w:t>.</w:t>
      </w:r>
    </w:p>
    <w:p w:rsidR="005A0860" w:rsidRDefault="005A0860" w:rsidP="007D6CEA">
      <w:pPr>
        <w:ind w:firstLine="360"/>
      </w:pPr>
      <w:r>
        <w:t>Efficiency of the RFID method depends on the mutual inductance of the antennae and receiver</w:t>
      </w:r>
      <w:r w:rsidR="00F23F77">
        <w:t>, just as with Witricity method</w:t>
      </w:r>
      <w:r>
        <w:t>. This can be related by</w:t>
      </w:r>
      <w:proofErr w:type="gramStart"/>
      <w:r>
        <w:t xml:space="preserve">, </w:t>
      </w:r>
      <m:oMath>
        <w:proofErr w:type="gramEnd"/>
        <m:r>
          <w:rPr>
            <w:rFonts w:ascii="Cambria Math" w:eastAsiaTheme="minorEastAsia" w:hAnsi="Cambria Math"/>
          </w:rPr>
          <m:t>K=</m:t>
        </m:r>
        <m:f>
          <m:fPr>
            <m:ctrlPr>
              <w:rPr>
                <w:rFonts w:ascii="Cambria Math" w:eastAsiaTheme="minorEastAsia" w:hAnsi="Cambria Math"/>
                <w:i/>
              </w:rPr>
            </m:ctrlPr>
          </m:fPr>
          <m:num>
            <m:r>
              <w:rPr>
                <w:rFonts w:ascii="Cambria Math" w:eastAsiaTheme="minorEastAsia" w:hAnsi="Cambria Math"/>
              </w:rPr>
              <m:t>M</m:t>
            </m:r>
          </m:num>
          <m:den>
            <m:rad>
              <m:radPr>
                <m:degHide m:val="on"/>
                <m:ctrlPr>
                  <w:rPr>
                    <w:rFonts w:ascii="Cambria Math" w:eastAsiaTheme="minorEastAsia" w:hAnsi="Cambria Math"/>
                    <w:i/>
                  </w:rPr>
                </m:ctrlPr>
              </m:radPr>
              <m:deg/>
              <m:e>
                <m:r>
                  <w:rPr>
                    <w:rFonts w:ascii="Cambria Math" w:eastAsiaTheme="minorEastAsia" w:hAnsi="Cambria Math"/>
                  </w:rPr>
                  <m:t>L1*L2</m:t>
                </m:r>
              </m:e>
            </m:rad>
          </m:den>
        </m:f>
      </m:oMath>
      <w:r w:rsidR="007D6CEA">
        <w:rPr>
          <w:rFonts w:eastAsiaTheme="minorEastAsia"/>
        </w:rPr>
        <w:t>.</w:t>
      </w:r>
      <w:r w:rsidR="007D6CEA">
        <w:t xml:space="preserve"> </w:t>
      </w:r>
      <w:r>
        <w:rPr>
          <w:rFonts w:eastAsiaTheme="minorEastAsia"/>
        </w:rPr>
        <w:t>The efficiency also depends on the alignment of the receiver coil in the magnetic field</w:t>
      </w:r>
      <w:r w:rsidR="00BA43FB">
        <w:rPr>
          <w:rFonts w:eastAsiaTheme="minorEastAsia"/>
        </w:rPr>
        <w:t>. Misalignment can cause a loss in</w:t>
      </w:r>
      <w:r w:rsidR="007D6CEA">
        <w:rPr>
          <w:rFonts w:eastAsiaTheme="minorEastAsia"/>
        </w:rPr>
        <w:t xml:space="preserve"> efficiency. </w:t>
      </w:r>
    </w:p>
    <w:p w:rsidR="00D73514" w:rsidRDefault="00D73514" w:rsidP="007D6CEA">
      <w:pPr>
        <w:ind w:firstLine="720"/>
      </w:pPr>
      <w:r>
        <w:t>RFID are used to transmit data from the tag back to the reader such as a bar code would do. They are beneficial when the tag is within th</w:t>
      </w:r>
      <w:r w:rsidR="007D6CEA">
        <w:t>e range of the reader or about 1 meter</w:t>
      </w:r>
      <w:r>
        <w:t>.</w:t>
      </w:r>
      <w:r w:rsidRPr="00D73514">
        <w:t xml:space="preserve"> </w:t>
      </w:r>
      <w:r>
        <w:t xml:space="preserve">A benefit of RFID’s is they don’t have to be in the direct line of sight with the reader. RFID’s can also be used when there are different mediums which exist between reader and tag </w:t>
      </w:r>
      <w:r w:rsidR="00F23F77">
        <w:t>and allow magnetic fields to pass through.</w:t>
      </w:r>
      <w:r>
        <w:t xml:space="preserve"> </w:t>
      </w:r>
      <w:r w:rsidR="007D6CEA">
        <w:t xml:space="preserve">The set back is the range of the RFID’s and the amount of power transferred. </w:t>
      </w:r>
    </w:p>
    <w:p w:rsidR="008710C1" w:rsidRDefault="007D6CEA">
      <w:r>
        <w:t>Infrared Method (IR’s)</w:t>
      </w:r>
    </w:p>
    <w:p w:rsidR="007D6CEA" w:rsidRDefault="008710C1" w:rsidP="00C00608">
      <w:r>
        <w:tab/>
      </w:r>
      <w:r w:rsidR="00C00608">
        <w:t>It is known that light can be converted to electricity by using a PV converter. The PV converter can then power and also recharge a batter. One constraint to infrared radiation or laser to transmit energy is the sender and readers have to be in direct line of sight. However, the distance between the two can be very large as long as the receiver or PV converter is in contact with light</w:t>
      </w:r>
      <w:r w:rsidR="007D6CEA">
        <w:t>.</w:t>
      </w:r>
    </w:p>
    <w:p w:rsidR="00C00608" w:rsidRDefault="00C00608" w:rsidP="00C00608">
      <w:r>
        <w:tab/>
        <w:t>Charge times and efficiencies depend on the amount of current being absorbed by the PV converter. But, for a photo diode with a surface area of 2.1 cm</w:t>
      </w:r>
      <w:r>
        <w:rPr>
          <w:vertAlign w:val="subscript"/>
        </w:rPr>
        <w:softHyphen/>
      </w:r>
      <w:r>
        <w:rPr>
          <w:vertAlign w:val="superscript"/>
        </w:rPr>
        <w:t>2</w:t>
      </w:r>
      <w:r>
        <w:t xml:space="preserve">, emitting an infrared light with wavelength of 810 nm with a power density of 22 </w:t>
      </w:r>
      <w:proofErr w:type="spellStart"/>
      <w:r>
        <w:t>mW</w:t>
      </w:r>
      <w:proofErr w:type="spellEnd"/>
      <w:r>
        <w:t xml:space="preserve">/cm, a regular pacemaker can run for 24 hours with a charge time of 17 minutes. (2) During the charging time, the temperature of the skin near the irradiation was found to rise only 1.4 degrees C. </w:t>
      </w:r>
      <w:r w:rsidR="00133E8C">
        <w:t>This method of recharging</w:t>
      </w:r>
      <w:r>
        <w:t xml:space="preserve"> has been found to be around the order of 20 % efficient depending on battery voltage and skin depth. (3)</w:t>
      </w:r>
    </w:p>
    <w:p w:rsidR="00C00608" w:rsidRDefault="00C00608" w:rsidP="00C00608">
      <w:r>
        <w:tab/>
        <w:t xml:space="preserve">The amount of current supplied by the PV converter is represented </w:t>
      </w:r>
      <w:proofErr w:type="gramStart"/>
      <w:r>
        <w:t xml:space="preserve">by </w:t>
      </w:r>
      <m:oMath>
        <w:proofErr w:type="gramEnd"/>
        <m:r>
          <w:rPr>
            <w:rFonts w:ascii="Cambria Math" w:hAnsi="Cambria Math"/>
          </w:rPr>
          <m:t>Ip=Ipnor</m:t>
        </m:r>
        <m:f>
          <m:fPr>
            <m:ctrlPr>
              <w:rPr>
                <w:rFonts w:ascii="Cambria Math" w:hAnsi="Cambria Math"/>
                <w:i/>
              </w:rPr>
            </m:ctrlPr>
          </m:fPr>
          <m:num>
            <m:r>
              <w:rPr>
                <w:rFonts w:ascii="Cambria Math" w:hAnsi="Cambria Math"/>
              </w:rPr>
              <m:t>Pl</m:t>
            </m:r>
          </m:num>
          <m:den>
            <m:r>
              <w:rPr>
                <w:rFonts w:ascii="Cambria Math" w:hAnsi="Cambria Math"/>
              </w:rPr>
              <m:t>Pnor</m:t>
            </m:r>
          </m:den>
        </m:f>
        <m:f>
          <m:fPr>
            <m:ctrlPr>
              <w:rPr>
                <w:rFonts w:ascii="Cambria Math" w:hAnsi="Cambria Math"/>
                <w:i/>
              </w:rPr>
            </m:ctrlPr>
          </m:fPr>
          <m:num>
            <m:r>
              <w:rPr>
                <w:rFonts w:ascii="Cambria Math" w:hAnsi="Cambria Math"/>
              </w:rPr>
              <m:t>τw</m:t>
            </m:r>
          </m:num>
          <m:den>
            <m:r>
              <w:rPr>
                <w:rFonts w:ascii="Cambria Math" w:hAnsi="Cambria Math"/>
              </w:rPr>
              <m:t>τT</m:t>
            </m:r>
          </m:den>
        </m:f>
      </m:oMath>
      <w:r>
        <w:rPr>
          <w:rFonts w:eastAsiaTheme="minorEastAsia"/>
        </w:rPr>
        <w:t xml:space="preserve">, where </w:t>
      </w:r>
      <m:oMath>
        <m:r>
          <w:rPr>
            <w:rFonts w:ascii="Cambria Math" w:hAnsi="Cambria Math"/>
          </w:rPr>
          <m:t>Ipnor</m:t>
        </m:r>
      </m:oMath>
      <w:r>
        <w:rPr>
          <w:rFonts w:eastAsiaTheme="minorEastAsia"/>
        </w:rPr>
        <w:t xml:space="preserve"> is the normal amount of current supplied to the battery by the PV converter at normalized light power density </w:t>
      </w:r>
      <m:oMath>
        <m:r>
          <w:rPr>
            <w:rFonts w:ascii="Cambria Math" w:hAnsi="Cambria Math"/>
          </w:rPr>
          <m:t>Pnor</m:t>
        </m:r>
      </m:oMath>
      <w:r>
        <w:rPr>
          <w:rFonts w:eastAsiaTheme="minorEastAsia"/>
        </w:rPr>
        <w:t xml:space="preserve">.  </w:t>
      </w:r>
      <m:oMath>
        <m:r>
          <w:rPr>
            <w:rFonts w:ascii="Cambria Math" w:hAnsi="Cambria Math"/>
          </w:rPr>
          <m:t>Pl</m:t>
        </m:r>
      </m:oMath>
      <w:r>
        <w:rPr>
          <w:rFonts w:eastAsiaTheme="minorEastAsia"/>
        </w:rPr>
        <w:t xml:space="preserve"> </w:t>
      </w:r>
      <w:proofErr w:type="gramStart"/>
      <w:r>
        <w:rPr>
          <w:rFonts w:eastAsiaTheme="minorEastAsia"/>
        </w:rPr>
        <w:t>is</w:t>
      </w:r>
      <w:proofErr w:type="gramEnd"/>
      <w:r>
        <w:rPr>
          <w:rFonts w:eastAsiaTheme="minorEastAsia"/>
        </w:rPr>
        <w:t xml:space="preserve"> the amount of light impinging on the PV converter, and </w:t>
      </w:r>
      <m:oMath>
        <m:f>
          <m:fPr>
            <m:ctrlPr>
              <w:rPr>
                <w:rFonts w:ascii="Cambria Math" w:hAnsi="Cambria Math"/>
                <w:i/>
              </w:rPr>
            </m:ctrlPr>
          </m:fPr>
          <m:num>
            <m:r>
              <w:rPr>
                <w:rFonts w:ascii="Cambria Math" w:hAnsi="Cambria Math"/>
              </w:rPr>
              <m:t>τw</m:t>
            </m:r>
          </m:num>
          <m:den>
            <m:r>
              <w:rPr>
                <w:rFonts w:ascii="Cambria Math" w:hAnsi="Cambria Math"/>
              </w:rPr>
              <m:t>τT</m:t>
            </m:r>
          </m:den>
        </m:f>
      </m:oMath>
      <w:r>
        <w:rPr>
          <w:rFonts w:eastAsiaTheme="minorEastAsia"/>
        </w:rPr>
        <w:t xml:space="preserve"> is the time ration that the converter is illuminated. </w:t>
      </w:r>
      <m:oMath>
        <m:r>
          <w:rPr>
            <w:rFonts w:ascii="Cambria Math" w:hAnsi="Cambria Math"/>
          </w:rPr>
          <m:t>Pl</m:t>
        </m:r>
      </m:oMath>
      <w:r>
        <w:rPr>
          <w:rFonts w:eastAsiaTheme="minorEastAsia"/>
        </w:rPr>
        <w:t xml:space="preserve"> </w:t>
      </w:r>
      <w:proofErr w:type="gramStart"/>
      <w:r>
        <w:rPr>
          <w:rFonts w:eastAsiaTheme="minorEastAsia"/>
        </w:rPr>
        <w:t>can</w:t>
      </w:r>
      <w:proofErr w:type="gramEnd"/>
      <w:r>
        <w:rPr>
          <w:rFonts w:eastAsiaTheme="minorEastAsia"/>
        </w:rPr>
        <w:t xml:space="preserve"> be found by </w:t>
      </w:r>
      <m:oMath>
        <m:r>
          <w:rPr>
            <w:rFonts w:ascii="Cambria Math" w:eastAsiaTheme="minorEastAsia" w:hAnsi="Cambria Math"/>
          </w:rPr>
          <m:t>Pl= ϕ∙</m:t>
        </m:r>
        <m:r>
          <m:rPr>
            <m:sty m:val="p"/>
          </m:rPr>
          <w:rPr>
            <w:rFonts w:ascii="Cambria Math" w:eastAsiaTheme="minorEastAsia" w:hAnsi="Cambria Math"/>
          </w:rPr>
          <m:t>π</m:t>
        </m:r>
        <m:r>
          <w:rPr>
            <w:rFonts w:ascii="Cambria Math" w:eastAsiaTheme="minorEastAsia" w:hAnsi="Cambria Math"/>
          </w:rPr>
          <m:t>∙</m:t>
        </m:r>
        <m:sSub>
          <m:sSubPr>
            <m:ctrlPr>
              <w:rPr>
                <w:rFonts w:ascii="Cambria Math" w:eastAsiaTheme="minorEastAsia" w:hAnsi="Cambria Math"/>
                <w:i/>
              </w:rPr>
            </m:ctrlPr>
          </m:sSubPr>
          <m:e>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2</m:t>
                </m:r>
              </m:sup>
            </m:sSup>
          </m:e>
          <m:sub>
            <m:r>
              <w:rPr>
                <w:rFonts w:ascii="Cambria Math" w:eastAsiaTheme="minorEastAsia" w:hAnsi="Cambria Math"/>
              </w:rPr>
              <m:t>light-skin</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η</m:t>
            </m:r>
          </m:e>
          <m:sub>
            <m:r>
              <w:rPr>
                <w:rFonts w:ascii="Cambria Math" w:eastAsiaTheme="minorEastAsia" w:hAnsi="Cambria Math"/>
              </w:rPr>
              <m:t>coupli</m:t>
            </m:r>
            <m:r>
              <w:rPr>
                <w:rFonts w:ascii="Cambria Math" w:eastAsiaTheme="minorEastAsia" w:hAnsi="Cambria Math"/>
              </w:rPr>
              <m:t>ng</m:t>
            </m:r>
          </m:sub>
        </m:sSub>
      </m:oMath>
      <w:r>
        <w:rPr>
          <w:rFonts w:eastAsiaTheme="minorEastAsia"/>
        </w:rPr>
        <w:t xml:space="preserve">. </w:t>
      </w:r>
    </w:p>
    <w:p w:rsidR="00C00608" w:rsidRDefault="00C00608" w:rsidP="00C00608">
      <w:pPr>
        <w:spacing w:before="240"/>
      </w:pPr>
      <w:r>
        <w:tab/>
        <w:t xml:space="preserve">A unique feature of this method of recharging </w:t>
      </w:r>
      <w:r w:rsidR="00133E8C">
        <w:t>batteries</w:t>
      </w:r>
      <w:r>
        <w:t xml:space="preserve"> is the possibility of sunlight replacing a near-infrared laser. In one study, an illumination time of 49 hours per week and a fiber optic diameter of 900 microns can increase the life of a battery by 5%. This compared to an increase of 145% with only 21 hours per week with a near –infrared laser. Consequently, sunlight and ambient illumination can supplement the use of a laser, but cannot be relied on as the sole illumination exposure. (1)</w:t>
      </w:r>
    </w:p>
    <w:p w:rsidR="00D73514" w:rsidRDefault="00DE1EAE">
      <w:r>
        <w:t>Compare and contrast section</w:t>
      </w:r>
    </w:p>
    <w:p w:rsidR="00DE1EAE" w:rsidRDefault="000E3E45" w:rsidP="00DE1EAE">
      <w:pPr>
        <w:ind w:firstLine="720"/>
      </w:pPr>
      <w:r>
        <w:t xml:space="preserve"> Although both RFID’s and the </w:t>
      </w:r>
      <w:r w:rsidR="00DE1EAE">
        <w:t>Witricity</w:t>
      </w:r>
      <w:r>
        <w:t xml:space="preserve"> method use a resonance frequency, the amount of power sent from the </w:t>
      </w:r>
      <w:r w:rsidR="00DE1EAE">
        <w:t>Witricity</w:t>
      </w:r>
      <w:r>
        <w:t xml:space="preserve"> method is much greater than that of an RFID. </w:t>
      </w:r>
      <w:r w:rsidR="00BD7C31">
        <w:t xml:space="preserve">The main difference </w:t>
      </w:r>
      <w:r w:rsidR="00BD7C31">
        <w:lastRenderedPageBreak/>
        <w:t xml:space="preserve">between these two means of wireless energy transfer is in the word resonance. Resonance is the natural frequency of an object where energy can most efficiently be added to the system. </w:t>
      </w:r>
      <w:r w:rsidR="00DE1EAE">
        <w:t xml:space="preserve">This resonance allows more energy to be transferred. </w:t>
      </w:r>
    </w:p>
    <w:p w:rsidR="00BD7C31" w:rsidRDefault="00BD7C31" w:rsidP="00DE1EAE">
      <w:pPr>
        <w:ind w:firstLine="720"/>
      </w:pPr>
      <w:r>
        <w:t xml:space="preserve">One way to think of resonance in a mechanical sense is with an opera singer and a wine glass. When the singer hits the natural frequency of the wine glass, or resonance, the vibrating glass will vibrate more and more until it shatters. The magnitude of the vibrations in the glass is the energy being added to the system.  In electrical sense the imaginary parts to an RLC circuit offset each other during resonance and thus a larger current can be added to the system with the same applied voltage. </w:t>
      </w:r>
    </w:p>
    <w:p w:rsidR="00BD7C31" w:rsidRDefault="00BD7C31" w:rsidP="00BD7C31">
      <w:r>
        <w:tab/>
        <w:t>Traditional Magnetic Induction works in the near field, usually only mm between antennae and receiver.  Witricity, however, works in the mid-range which has been found to work at a distance of over seven feet</w:t>
      </w:r>
      <w:r w:rsidR="00DE1EAE">
        <w:t xml:space="preserve"> and can send similar amounts of power (1-5 watts)</w:t>
      </w:r>
      <w:r>
        <w:t xml:space="preserve">. </w:t>
      </w:r>
      <w:r w:rsidR="003C5468">
        <w:t xml:space="preserve"> As the range of traditional magnetic induction is used for wireless energy transfer without a core, the efficiency decreases much greater than that of Witricity. </w:t>
      </w:r>
    </w:p>
    <w:p w:rsidR="00DE1EAE" w:rsidRDefault="00DE1EAE" w:rsidP="00BD7C31">
      <w:r>
        <w:tab/>
        <w:t xml:space="preserve">With IR’s </w:t>
      </w:r>
      <w:proofErr w:type="spellStart"/>
      <w:r>
        <w:t>mW</w:t>
      </w:r>
      <w:proofErr w:type="spellEnd"/>
      <w:r>
        <w:t xml:space="preserve"> of power can be send just as with RFID’s but the range can be extended as long as the PV converter is in contact with light. IR’s however do need to be in direct line of sight of the power source/laser where as with Witricity, misalignment is less of an issue. </w:t>
      </w:r>
    </w:p>
    <w:tbl>
      <w:tblPr>
        <w:tblW w:w="8800" w:type="dxa"/>
        <w:tblInd w:w="93" w:type="dxa"/>
        <w:tblLook w:val="04A0"/>
      </w:tblPr>
      <w:tblGrid>
        <w:gridCol w:w="3200"/>
        <w:gridCol w:w="1074"/>
        <w:gridCol w:w="2760"/>
        <w:gridCol w:w="1820"/>
      </w:tblGrid>
      <w:tr w:rsidR="003C5468" w:rsidRPr="003C5468" w:rsidTr="003C5468">
        <w:trPr>
          <w:trHeight w:val="300"/>
        </w:trPr>
        <w:tc>
          <w:tcPr>
            <w:tcW w:w="32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3C5468" w:rsidRPr="003C5468" w:rsidRDefault="003C5468" w:rsidP="003C5468">
            <w:pPr>
              <w:spacing w:after="0" w:line="240" w:lineRule="auto"/>
              <w:rPr>
                <w:rFonts w:ascii="Calibri" w:eastAsia="Times New Roman" w:hAnsi="Calibri" w:cs="Times New Roman"/>
                <w:color w:val="000000"/>
              </w:rPr>
            </w:pPr>
            <w:r w:rsidRPr="003C5468">
              <w:rPr>
                <w:rFonts w:ascii="Calibri" w:eastAsia="Times New Roman" w:hAnsi="Calibri" w:cs="Times New Roman"/>
                <w:color w:val="000000"/>
              </w:rPr>
              <w:t>Type or Wireless energy transfer</w:t>
            </w:r>
          </w:p>
        </w:tc>
        <w:tc>
          <w:tcPr>
            <w:tcW w:w="1020" w:type="dxa"/>
            <w:tcBorders>
              <w:top w:val="single" w:sz="8" w:space="0" w:color="auto"/>
              <w:left w:val="nil"/>
              <w:bottom w:val="single" w:sz="4" w:space="0" w:color="auto"/>
              <w:right w:val="single" w:sz="4" w:space="0" w:color="auto"/>
            </w:tcBorders>
            <w:shd w:val="clear" w:color="auto" w:fill="auto"/>
            <w:noWrap/>
            <w:vAlign w:val="bottom"/>
            <w:hideMark/>
          </w:tcPr>
          <w:p w:rsidR="003C5468" w:rsidRPr="003C5468" w:rsidRDefault="003C5468" w:rsidP="003C5468">
            <w:pPr>
              <w:spacing w:after="0" w:line="240" w:lineRule="auto"/>
              <w:rPr>
                <w:rFonts w:ascii="Calibri" w:eastAsia="Times New Roman" w:hAnsi="Calibri" w:cs="Times New Roman"/>
                <w:color w:val="000000"/>
              </w:rPr>
            </w:pPr>
            <w:r w:rsidRPr="003C5468">
              <w:rPr>
                <w:rFonts w:ascii="Calibri" w:eastAsia="Times New Roman" w:hAnsi="Calibri" w:cs="Times New Roman"/>
                <w:color w:val="000000"/>
              </w:rPr>
              <w:t>Range</w:t>
            </w:r>
          </w:p>
        </w:tc>
        <w:tc>
          <w:tcPr>
            <w:tcW w:w="2760" w:type="dxa"/>
            <w:tcBorders>
              <w:top w:val="single" w:sz="8" w:space="0" w:color="auto"/>
              <w:left w:val="nil"/>
              <w:bottom w:val="single" w:sz="4" w:space="0" w:color="auto"/>
              <w:right w:val="single" w:sz="4" w:space="0" w:color="auto"/>
            </w:tcBorders>
            <w:shd w:val="clear" w:color="auto" w:fill="auto"/>
            <w:noWrap/>
            <w:vAlign w:val="bottom"/>
            <w:hideMark/>
          </w:tcPr>
          <w:p w:rsidR="003C5468" w:rsidRPr="003C5468" w:rsidRDefault="003C5468" w:rsidP="003C5468">
            <w:pPr>
              <w:spacing w:after="0" w:line="240" w:lineRule="auto"/>
              <w:rPr>
                <w:rFonts w:ascii="Calibri" w:eastAsia="Times New Roman" w:hAnsi="Calibri" w:cs="Times New Roman"/>
                <w:color w:val="000000"/>
              </w:rPr>
            </w:pPr>
            <w:r w:rsidRPr="003C5468">
              <w:rPr>
                <w:rFonts w:ascii="Calibri" w:eastAsia="Times New Roman" w:hAnsi="Calibri" w:cs="Times New Roman"/>
                <w:color w:val="000000"/>
              </w:rPr>
              <w:t>Amount of Power Delivered</w:t>
            </w:r>
          </w:p>
        </w:tc>
        <w:tc>
          <w:tcPr>
            <w:tcW w:w="1820" w:type="dxa"/>
            <w:tcBorders>
              <w:top w:val="single" w:sz="8" w:space="0" w:color="auto"/>
              <w:left w:val="nil"/>
              <w:bottom w:val="single" w:sz="4" w:space="0" w:color="auto"/>
              <w:right w:val="single" w:sz="8" w:space="0" w:color="auto"/>
            </w:tcBorders>
            <w:shd w:val="clear" w:color="auto" w:fill="auto"/>
            <w:noWrap/>
            <w:vAlign w:val="bottom"/>
            <w:hideMark/>
          </w:tcPr>
          <w:p w:rsidR="003C5468" w:rsidRPr="003C5468" w:rsidRDefault="003C5468" w:rsidP="003C5468">
            <w:pPr>
              <w:spacing w:after="0" w:line="240" w:lineRule="auto"/>
              <w:rPr>
                <w:rFonts w:ascii="Calibri" w:eastAsia="Times New Roman" w:hAnsi="Calibri" w:cs="Times New Roman"/>
                <w:color w:val="000000"/>
              </w:rPr>
            </w:pPr>
            <w:r w:rsidRPr="003C5468">
              <w:rPr>
                <w:rFonts w:ascii="Calibri" w:eastAsia="Times New Roman" w:hAnsi="Calibri" w:cs="Times New Roman"/>
                <w:color w:val="000000"/>
              </w:rPr>
              <w:t>Magnetic Field</w:t>
            </w:r>
          </w:p>
        </w:tc>
      </w:tr>
      <w:tr w:rsidR="003C5468" w:rsidRPr="003C5468" w:rsidTr="003C5468">
        <w:trPr>
          <w:trHeight w:val="300"/>
        </w:trPr>
        <w:tc>
          <w:tcPr>
            <w:tcW w:w="3200" w:type="dxa"/>
            <w:tcBorders>
              <w:top w:val="nil"/>
              <w:left w:val="single" w:sz="8" w:space="0" w:color="auto"/>
              <w:bottom w:val="single" w:sz="4" w:space="0" w:color="auto"/>
              <w:right w:val="single" w:sz="4" w:space="0" w:color="auto"/>
            </w:tcBorders>
            <w:shd w:val="clear" w:color="auto" w:fill="auto"/>
            <w:noWrap/>
            <w:vAlign w:val="bottom"/>
            <w:hideMark/>
          </w:tcPr>
          <w:p w:rsidR="003C5468" w:rsidRPr="003C5468" w:rsidRDefault="003C5468" w:rsidP="003C5468">
            <w:pPr>
              <w:spacing w:after="0" w:line="240" w:lineRule="auto"/>
              <w:rPr>
                <w:rFonts w:ascii="Calibri" w:eastAsia="Times New Roman" w:hAnsi="Calibri" w:cs="Times New Roman"/>
                <w:color w:val="000000"/>
              </w:rPr>
            </w:pPr>
            <w:r w:rsidRPr="003C5468">
              <w:rPr>
                <w:rFonts w:ascii="Calibri" w:eastAsia="Times New Roman" w:hAnsi="Calibri" w:cs="Times New Roman"/>
                <w:color w:val="000000"/>
              </w:rPr>
              <w:t>Traditional Method</w:t>
            </w:r>
          </w:p>
        </w:tc>
        <w:tc>
          <w:tcPr>
            <w:tcW w:w="1020" w:type="dxa"/>
            <w:tcBorders>
              <w:top w:val="nil"/>
              <w:left w:val="nil"/>
              <w:bottom w:val="single" w:sz="4" w:space="0" w:color="auto"/>
              <w:right w:val="single" w:sz="4" w:space="0" w:color="auto"/>
            </w:tcBorders>
            <w:shd w:val="clear" w:color="auto" w:fill="auto"/>
            <w:noWrap/>
            <w:vAlign w:val="bottom"/>
            <w:hideMark/>
          </w:tcPr>
          <w:p w:rsidR="003C5468" w:rsidRPr="003C5468" w:rsidRDefault="003C5468" w:rsidP="003C5468">
            <w:pPr>
              <w:spacing w:after="0" w:line="240" w:lineRule="auto"/>
              <w:rPr>
                <w:rFonts w:ascii="Calibri" w:eastAsia="Times New Roman" w:hAnsi="Calibri" w:cs="Times New Roman"/>
                <w:color w:val="000000"/>
              </w:rPr>
            </w:pPr>
            <w:r w:rsidRPr="003C5468">
              <w:rPr>
                <w:rFonts w:ascii="Calibri" w:eastAsia="Times New Roman" w:hAnsi="Calibri" w:cs="Times New Roman"/>
                <w:color w:val="000000"/>
              </w:rPr>
              <w:t>mm</w:t>
            </w:r>
          </w:p>
        </w:tc>
        <w:tc>
          <w:tcPr>
            <w:tcW w:w="2760" w:type="dxa"/>
            <w:tcBorders>
              <w:top w:val="nil"/>
              <w:left w:val="nil"/>
              <w:bottom w:val="single" w:sz="4" w:space="0" w:color="auto"/>
              <w:right w:val="single" w:sz="4" w:space="0" w:color="auto"/>
            </w:tcBorders>
            <w:shd w:val="clear" w:color="auto" w:fill="auto"/>
            <w:noWrap/>
            <w:vAlign w:val="bottom"/>
            <w:hideMark/>
          </w:tcPr>
          <w:p w:rsidR="003C5468" w:rsidRPr="003C5468" w:rsidRDefault="003C5468" w:rsidP="003C5468">
            <w:pPr>
              <w:spacing w:after="0" w:line="240" w:lineRule="auto"/>
              <w:rPr>
                <w:rFonts w:ascii="Calibri" w:eastAsia="Times New Roman" w:hAnsi="Calibri" w:cs="Times New Roman"/>
                <w:color w:val="000000"/>
              </w:rPr>
            </w:pPr>
            <w:r w:rsidRPr="003C5468">
              <w:rPr>
                <w:rFonts w:ascii="Calibri" w:eastAsia="Times New Roman" w:hAnsi="Calibri" w:cs="Times New Roman"/>
                <w:color w:val="000000"/>
              </w:rPr>
              <w:t>1 - 5 Watts</w:t>
            </w:r>
          </w:p>
        </w:tc>
        <w:tc>
          <w:tcPr>
            <w:tcW w:w="1820" w:type="dxa"/>
            <w:tcBorders>
              <w:top w:val="nil"/>
              <w:left w:val="nil"/>
              <w:bottom w:val="single" w:sz="4" w:space="0" w:color="auto"/>
              <w:right w:val="single" w:sz="8" w:space="0" w:color="auto"/>
            </w:tcBorders>
            <w:shd w:val="clear" w:color="auto" w:fill="auto"/>
            <w:noWrap/>
            <w:vAlign w:val="bottom"/>
            <w:hideMark/>
          </w:tcPr>
          <w:p w:rsidR="003C5468" w:rsidRPr="003C5468" w:rsidRDefault="003C5468" w:rsidP="003C5468">
            <w:pPr>
              <w:spacing w:after="0" w:line="240" w:lineRule="auto"/>
              <w:rPr>
                <w:rFonts w:ascii="Calibri" w:eastAsia="Times New Roman" w:hAnsi="Calibri" w:cs="Times New Roman"/>
                <w:color w:val="000000"/>
              </w:rPr>
            </w:pPr>
            <w:r w:rsidRPr="003C5468">
              <w:rPr>
                <w:rFonts w:ascii="Calibri" w:eastAsia="Times New Roman" w:hAnsi="Calibri" w:cs="Times New Roman"/>
                <w:color w:val="000000"/>
              </w:rPr>
              <w:t>Near Field</w:t>
            </w:r>
          </w:p>
        </w:tc>
      </w:tr>
      <w:tr w:rsidR="003C5468" w:rsidRPr="003C5468" w:rsidTr="003C5468">
        <w:trPr>
          <w:trHeight w:val="300"/>
        </w:trPr>
        <w:tc>
          <w:tcPr>
            <w:tcW w:w="3200" w:type="dxa"/>
            <w:tcBorders>
              <w:top w:val="nil"/>
              <w:left w:val="single" w:sz="8" w:space="0" w:color="auto"/>
              <w:bottom w:val="single" w:sz="4" w:space="0" w:color="auto"/>
              <w:right w:val="single" w:sz="4" w:space="0" w:color="auto"/>
            </w:tcBorders>
            <w:shd w:val="clear" w:color="auto" w:fill="auto"/>
            <w:noWrap/>
            <w:vAlign w:val="bottom"/>
            <w:hideMark/>
          </w:tcPr>
          <w:p w:rsidR="003C5468" w:rsidRPr="003C5468" w:rsidRDefault="003C5468" w:rsidP="003C5468">
            <w:pPr>
              <w:spacing w:after="0" w:line="240" w:lineRule="auto"/>
              <w:rPr>
                <w:rFonts w:ascii="Calibri" w:eastAsia="Times New Roman" w:hAnsi="Calibri" w:cs="Times New Roman"/>
                <w:color w:val="000000"/>
              </w:rPr>
            </w:pPr>
            <w:r w:rsidRPr="003C5468">
              <w:rPr>
                <w:rFonts w:ascii="Calibri" w:eastAsia="Times New Roman" w:hAnsi="Calibri" w:cs="Times New Roman"/>
                <w:color w:val="000000"/>
              </w:rPr>
              <w:t>RFID</w:t>
            </w:r>
          </w:p>
        </w:tc>
        <w:tc>
          <w:tcPr>
            <w:tcW w:w="1020" w:type="dxa"/>
            <w:tcBorders>
              <w:top w:val="nil"/>
              <w:left w:val="nil"/>
              <w:bottom w:val="single" w:sz="4" w:space="0" w:color="auto"/>
              <w:right w:val="single" w:sz="4" w:space="0" w:color="auto"/>
            </w:tcBorders>
            <w:shd w:val="clear" w:color="auto" w:fill="auto"/>
            <w:noWrap/>
            <w:vAlign w:val="bottom"/>
            <w:hideMark/>
          </w:tcPr>
          <w:p w:rsidR="003C5468" w:rsidRPr="003C5468" w:rsidRDefault="003C5468" w:rsidP="003C5468">
            <w:pPr>
              <w:spacing w:after="0" w:line="240" w:lineRule="auto"/>
              <w:rPr>
                <w:rFonts w:ascii="Calibri" w:eastAsia="Times New Roman" w:hAnsi="Calibri" w:cs="Times New Roman"/>
                <w:color w:val="000000"/>
              </w:rPr>
            </w:pPr>
            <w:r w:rsidRPr="003C5468">
              <w:rPr>
                <w:rFonts w:ascii="Calibri" w:eastAsia="Times New Roman" w:hAnsi="Calibri" w:cs="Times New Roman"/>
                <w:color w:val="000000"/>
              </w:rPr>
              <w:t>1-3 ft</w:t>
            </w:r>
          </w:p>
        </w:tc>
        <w:tc>
          <w:tcPr>
            <w:tcW w:w="2760" w:type="dxa"/>
            <w:tcBorders>
              <w:top w:val="nil"/>
              <w:left w:val="nil"/>
              <w:bottom w:val="single" w:sz="4" w:space="0" w:color="auto"/>
              <w:right w:val="single" w:sz="4" w:space="0" w:color="auto"/>
            </w:tcBorders>
            <w:shd w:val="clear" w:color="auto" w:fill="auto"/>
            <w:noWrap/>
            <w:vAlign w:val="bottom"/>
            <w:hideMark/>
          </w:tcPr>
          <w:p w:rsidR="003C5468" w:rsidRPr="003C5468" w:rsidRDefault="003C5468" w:rsidP="003C5468">
            <w:pPr>
              <w:spacing w:after="0" w:line="240" w:lineRule="auto"/>
              <w:rPr>
                <w:rFonts w:ascii="Calibri" w:eastAsia="Times New Roman" w:hAnsi="Calibri" w:cs="Times New Roman"/>
                <w:color w:val="000000"/>
              </w:rPr>
            </w:pPr>
            <w:proofErr w:type="spellStart"/>
            <w:r w:rsidRPr="003C5468">
              <w:rPr>
                <w:rFonts w:ascii="Calibri" w:eastAsia="Times New Roman" w:hAnsi="Calibri" w:cs="Times New Roman"/>
                <w:color w:val="000000"/>
              </w:rPr>
              <w:t>mW</w:t>
            </w:r>
            <w:proofErr w:type="spellEnd"/>
          </w:p>
        </w:tc>
        <w:tc>
          <w:tcPr>
            <w:tcW w:w="1820" w:type="dxa"/>
            <w:tcBorders>
              <w:top w:val="nil"/>
              <w:left w:val="nil"/>
              <w:bottom w:val="single" w:sz="4" w:space="0" w:color="auto"/>
              <w:right w:val="single" w:sz="8" w:space="0" w:color="auto"/>
            </w:tcBorders>
            <w:shd w:val="clear" w:color="auto" w:fill="auto"/>
            <w:noWrap/>
            <w:vAlign w:val="bottom"/>
            <w:hideMark/>
          </w:tcPr>
          <w:p w:rsidR="003C5468" w:rsidRPr="003C5468" w:rsidRDefault="003C5468" w:rsidP="003C5468">
            <w:pPr>
              <w:spacing w:after="0" w:line="240" w:lineRule="auto"/>
              <w:rPr>
                <w:rFonts w:ascii="Calibri" w:eastAsia="Times New Roman" w:hAnsi="Calibri" w:cs="Times New Roman"/>
                <w:color w:val="000000"/>
              </w:rPr>
            </w:pPr>
            <w:r w:rsidRPr="003C5468">
              <w:rPr>
                <w:rFonts w:ascii="Calibri" w:eastAsia="Times New Roman" w:hAnsi="Calibri" w:cs="Times New Roman"/>
                <w:color w:val="000000"/>
              </w:rPr>
              <w:t>Both Near And Far</w:t>
            </w:r>
          </w:p>
        </w:tc>
      </w:tr>
      <w:tr w:rsidR="003C5468" w:rsidRPr="003C5468" w:rsidTr="003C5468">
        <w:trPr>
          <w:trHeight w:val="300"/>
        </w:trPr>
        <w:tc>
          <w:tcPr>
            <w:tcW w:w="3200" w:type="dxa"/>
            <w:tcBorders>
              <w:top w:val="nil"/>
              <w:left w:val="single" w:sz="8" w:space="0" w:color="auto"/>
              <w:bottom w:val="single" w:sz="4" w:space="0" w:color="auto"/>
              <w:right w:val="single" w:sz="4" w:space="0" w:color="auto"/>
            </w:tcBorders>
            <w:shd w:val="clear" w:color="auto" w:fill="auto"/>
            <w:noWrap/>
            <w:vAlign w:val="bottom"/>
            <w:hideMark/>
          </w:tcPr>
          <w:p w:rsidR="003C5468" w:rsidRPr="003C5468" w:rsidRDefault="003C5468" w:rsidP="003C5468">
            <w:pPr>
              <w:spacing w:after="0" w:line="240" w:lineRule="auto"/>
              <w:rPr>
                <w:rFonts w:ascii="Calibri" w:eastAsia="Times New Roman" w:hAnsi="Calibri" w:cs="Times New Roman"/>
                <w:color w:val="000000"/>
              </w:rPr>
            </w:pPr>
            <w:r w:rsidRPr="003C5468">
              <w:rPr>
                <w:rFonts w:ascii="Calibri" w:eastAsia="Times New Roman" w:hAnsi="Calibri" w:cs="Times New Roman"/>
                <w:color w:val="000000"/>
              </w:rPr>
              <w:t>Infrared</w:t>
            </w:r>
          </w:p>
        </w:tc>
        <w:tc>
          <w:tcPr>
            <w:tcW w:w="1020" w:type="dxa"/>
            <w:tcBorders>
              <w:top w:val="nil"/>
              <w:left w:val="nil"/>
              <w:bottom w:val="single" w:sz="4" w:space="0" w:color="auto"/>
              <w:right w:val="single" w:sz="4" w:space="0" w:color="auto"/>
            </w:tcBorders>
            <w:shd w:val="clear" w:color="auto" w:fill="auto"/>
            <w:noWrap/>
            <w:vAlign w:val="bottom"/>
            <w:hideMark/>
          </w:tcPr>
          <w:p w:rsidR="003C5468" w:rsidRPr="003C5468" w:rsidRDefault="003C5468" w:rsidP="003C5468">
            <w:pPr>
              <w:spacing w:after="0" w:line="240" w:lineRule="auto"/>
              <w:rPr>
                <w:rFonts w:ascii="Calibri" w:eastAsia="Times New Roman" w:hAnsi="Calibri" w:cs="Times New Roman"/>
                <w:color w:val="000000"/>
              </w:rPr>
            </w:pPr>
            <w:r w:rsidRPr="003C5468">
              <w:rPr>
                <w:rFonts w:ascii="Calibri" w:eastAsia="Times New Roman" w:hAnsi="Calibri" w:cs="Times New Roman"/>
                <w:color w:val="000000"/>
              </w:rPr>
              <w:t>unlimited</w:t>
            </w:r>
          </w:p>
        </w:tc>
        <w:tc>
          <w:tcPr>
            <w:tcW w:w="2760" w:type="dxa"/>
            <w:tcBorders>
              <w:top w:val="nil"/>
              <w:left w:val="nil"/>
              <w:bottom w:val="single" w:sz="4" w:space="0" w:color="auto"/>
              <w:right w:val="single" w:sz="4" w:space="0" w:color="auto"/>
            </w:tcBorders>
            <w:shd w:val="clear" w:color="auto" w:fill="auto"/>
            <w:noWrap/>
            <w:vAlign w:val="bottom"/>
            <w:hideMark/>
          </w:tcPr>
          <w:p w:rsidR="003C5468" w:rsidRPr="003C5468" w:rsidRDefault="003C5468" w:rsidP="003C5468">
            <w:pPr>
              <w:spacing w:after="0" w:line="240" w:lineRule="auto"/>
              <w:rPr>
                <w:rFonts w:ascii="Calibri" w:eastAsia="Times New Roman" w:hAnsi="Calibri" w:cs="Times New Roman"/>
                <w:color w:val="000000"/>
              </w:rPr>
            </w:pPr>
            <w:proofErr w:type="spellStart"/>
            <w:r w:rsidRPr="003C5468">
              <w:rPr>
                <w:rFonts w:ascii="Calibri" w:eastAsia="Times New Roman" w:hAnsi="Calibri" w:cs="Times New Roman"/>
                <w:color w:val="000000"/>
              </w:rPr>
              <w:t>mW</w:t>
            </w:r>
            <w:proofErr w:type="spellEnd"/>
          </w:p>
        </w:tc>
        <w:tc>
          <w:tcPr>
            <w:tcW w:w="1820" w:type="dxa"/>
            <w:tcBorders>
              <w:top w:val="nil"/>
              <w:left w:val="nil"/>
              <w:bottom w:val="single" w:sz="4" w:space="0" w:color="auto"/>
              <w:right w:val="single" w:sz="8" w:space="0" w:color="auto"/>
            </w:tcBorders>
            <w:shd w:val="clear" w:color="auto" w:fill="auto"/>
            <w:noWrap/>
            <w:vAlign w:val="bottom"/>
            <w:hideMark/>
          </w:tcPr>
          <w:p w:rsidR="003C5468" w:rsidRPr="003C5468" w:rsidRDefault="003C5468" w:rsidP="003C5468">
            <w:pPr>
              <w:spacing w:after="0" w:line="240" w:lineRule="auto"/>
              <w:rPr>
                <w:rFonts w:ascii="Calibri" w:eastAsia="Times New Roman" w:hAnsi="Calibri" w:cs="Times New Roman"/>
                <w:color w:val="000000"/>
              </w:rPr>
            </w:pPr>
            <w:r w:rsidRPr="003C5468">
              <w:rPr>
                <w:rFonts w:ascii="Calibri" w:eastAsia="Times New Roman" w:hAnsi="Calibri" w:cs="Times New Roman"/>
                <w:color w:val="000000"/>
              </w:rPr>
              <w:t>NA</w:t>
            </w:r>
          </w:p>
        </w:tc>
      </w:tr>
      <w:tr w:rsidR="003C5468" w:rsidRPr="003C5468" w:rsidTr="003C5468">
        <w:trPr>
          <w:trHeight w:val="315"/>
        </w:trPr>
        <w:tc>
          <w:tcPr>
            <w:tcW w:w="3200" w:type="dxa"/>
            <w:tcBorders>
              <w:top w:val="nil"/>
              <w:left w:val="single" w:sz="8" w:space="0" w:color="auto"/>
              <w:bottom w:val="single" w:sz="8" w:space="0" w:color="auto"/>
              <w:right w:val="single" w:sz="4" w:space="0" w:color="auto"/>
            </w:tcBorders>
            <w:shd w:val="clear" w:color="auto" w:fill="auto"/>
            <w:noWrap/>
            <w:vAlign w:val="bottom"/>
            <w:hideMark/>
          </w:tcPr>
          <w:p w:rsidR="003C5468" w:rsidRPr="003C5468" w:rsidRDefault="003C5468" w:rsidP="003C5468">
            <w:pPr>
              <w:spacing w:after="0" w:line="240" w:lineRule="auto"/>
              <w:rPr>
                <w:rFonts w:ascii="Calibri" w:eastAsia="Times New Roman" w:hAnsi="Calibri" w:cs="Times New Roman"/>
                <w:color w:val="000000"/>
              </w:rPr>
            </w:pPr>
            <w:r w:rsidRPr="003C5468">
              <w:rPr>
                <w:rFonts w:ascii="Calibri" w:eastAsia="Times New Roman" w:hAnsi="Calibri" w:cs="Times New Roman"/>
                <w:color w:val="000000"/>
              </w:rPr>
              <w:t>Witricity</w:t>
            </w:r>
          </w:p>
        </w:tc>
        <w:tc>
          <w:tcPr>
            <w:tcW w:w="1020" w:type="dxa"/>
            <w:tcBorders>
              <w:top w:val="nil"/>
              <w:left w:val="nil"/>
              <w:bottom w:val="single" w:sz="8" w:space="0" w:color="auto"/>
              <w:right w:val="single" w:sz="4" w:space="0" w:color="auto"/>
            </w:tcBorders>
            <w:shd w:val="clear" w:color="auto" w:fill="auto"/>
            <w:noWrap/>
            <w:vAlign w:val="bottom"/>
            <w:hideMark/>
          </w:tcPr>
          <w:p w:rsidR="003C5468" w:rsidRPr="003C5468" w:rsidRDefault="003C5468" w:rsidP="003C5468">
            <w:pPr>
              <w:spacing w:after="0" w:line="240" w:lineRule="auto"/>
              <w:rPr>
                <w:rFonts w:ascii="Calibri" w:eastAsia="Times New Roman" w:hAnsi="Calibri" w:cs="Times New Roman"/>
                <w:color w:val="000000"/>
              </w:rPr>
            </w:pPr>
            <w:r w:rsidRPr="003C5468">
              <w:rPr>
                <w:rFonts w:ascii="Calibri" w:eastAsia="Times New Roman" w:hAnsi="Calibri" w:cs="Times New Roman"/>
                <w:color w:val="000000"/>
              </w:rPr>
              <w:t>7 ft</w:t>
            </w:r>
          </w:p>
        </w:tc>
        <w:tc>
          <w:tcPr>
            <w:tcW w:w="2760" w:type="dxa"/>
            <w:tcBorders>
              <w:top w:val="nil"/>
              <w:left w:val="nil"/>
              <w:bottom w:val="single" w:sz="8" w:space="0" w:color="auto"/>
              <w:right w:val="single" w:sz="4" w:space="0" w:color="auto"/>
            </w:tcBorders>
            <w:shd w:val="clear" w:color="auto" w:fill="auto"/>
            <w:noWrap/>
            <w:vAlign w:val="bottom"/>
            <w:hideMark/>
          </w:tcPr>
          <w:p w:rsidR="003C5468" w:rsidRPr="003C5468" w:rsidRDefault="003C5468" w:rsidP="003C5468">
            <w:pPr>
              <w:spacing w:after="0" w:line="240" w:lineRule="auto"/>
              <w:rPr>
                <w:rFonts w:ascii="Calibri" w:eastAsia="Times New Roman" w:hAnsi="Calibri" w:cs="Times New Roman"/>
                <w:color w:val="000000"/>
              </w:rPr>
            </w:pPr>
            <w:r w:rsidRPr="003C5468">
              <w:rPr>
                <w:rFonts w:ascii="Calibri" w:eastAsia="Times New Roman" w:hAnsi="Calibri" w:cs="Times New Roman"/>
                <w:color w:val="000000"/>
              </w:rPr>
              <w:t>60 W</w:t>
            </w:r>
          </w:p>
        </w:tc>
        <w:tc>
          <w:tcPr>
            <w:tcW w:w="1820" w:type="dxa"/>
            <w:tcBorders>
              <w:top w:val="nil"/>
              <w:left w:val="nil"/>
              <w:bottom w:val="single" w:sz="8" w:space="0" w:color="auto"/>
              <w:right w:val="single" w:sz="8" w:space="0" w:color="auto"/>
            </w:tcBorders>
            <w:shd w:val="clear" w:color="auto" w:fill="auto"/>
            <w:noWrap/>
            <w:vAlign w:val="bottom"/>
            <w:hideMark/>
          </w:tcPr>
          <w:p w:rsidR="003C5468" w:rsidRPr="003C5468" w:rsidRDefault="003C5468" w:rsidP="003C5468">
            <w:pPr>
              <w:spacing w:after="0" w:line="240" w:lineRule="auto"/>
              <w:rPr>
                <w:rFonts w:ascii="Calibri" w:eastAsia="Times New Roman" w:hAnsi="Calibri" w:cs="Times New Roman"/>
                <w:color w:val="000000"/>
              </w:rPr>
            </w:pPr>
            <w:r w:rsidRPr="003C5468">
              <w:rPr>
                <w:rFonts w:ascii="Calibri" w:eastAsia="Times New Roman" w:hAnsi="Calibri" w:cs="Times New Roman"/>
                <w:color w:val="000000"/>
              </w:rPr>
              <w:t>Near</w:t>
            </w:r>
          </w:p>
        </w:tc>
      </w:tr>
    </w:tbl>
    <w:p w:rsidR="003C5468" w:rsidRDefault="003C5468" w:rsidP="00BD7C31"/>
    <w:p w:rsidR="00DE1EAE" w:rsidRDefault="00DE1EAE" w:rsidP="00BD7C31">
      <w:r>
        <w:tab/>
      </w:r>
    </w:p>
    <w:p w:rsidR="00BD7C31" w:rsidRDefault="00BD7C31"/>
    <w:sectPr w:rsidR="00BD7C31" w:rsidSect="00F5568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4B790F"/>
    <w:multiLevelType w:val="hybridMultilevel"/>
    <w:tmpl w:val="D932D762"/>
    <w:lvl w:ilvl="0" w:tplc="FA508B6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31536"/>
    <w:rsid w:val="00002593"/>
    <w:rsid w:val="0002108B"/>
    <w:rsid w:val="000E3E45"/>
    <w:rsid w:val="00133E8C"/>
    <w:rsid w:val="003C5468"/>
    <w:rsid w:val="00531536"/>
    <w:rsid w:val="00592948"/>
    <w:rsid w:val="005A0860"/>
    <w:rsid w:val="005E3F39"/>
    <w:rsid w:val="006814FE"/>
    <w:rsid w:val="0073746C"/>
    <w:rsid w:val="007D6CEA"/>
    <w:rsid w:val="007E2179"/>
    <w:rsid w:val="0086728E"/>
    <w:rsid w:val="008710C1"/>
    <w:rsid w:val="00A07B3C"/>
    <w:rsid w:val="00B3304C"/>
    <w:rsid w:val="00BA43FB"/>
    <w:rsid w:val="00BD7C31"/>
    <w:rsid w:val="00C00608"/>
    <w:rsid w:val="00C92791"/>
    <w:rsid w:val="00D73514"/>
    <w:rsid w:val="00DC17FA"/>
    <w:rsid w:val="00DC6A2A"/>
    <w:rsid w:val="00DE1EAE"/>
    <w:rsid w:val="00E25E31"/>
    <w:rsid w:val="00E2791B"/>
    <w:rsid w:val="00EB5A19"/>
    <w:rsid w:val="00F23F77"/>
    <w:rsid w:val="00F556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687"/>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108B"/>
    <w:pPr>
      <w:ind w:left="720"/>
      <w:contextualSpacing/>
    </w:pPr>
  </w:style>
  <w:style w:type="paragraph" w:styleId="BalloonText">
    <w:name w:val="Balloon Text"/>
    <w:basedOn w:val="Normal"/>
    <w:link w:val="BalloonTextChar"/>
    <w:uiPriority w:val="99"/>
    <w:semiHidden/>
    <w:unhideWhenUsed/>
    <w:rsid w:val="000210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108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0108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1675</Words>
  <Characters>9548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11201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Michael.Riewer</dc:creator>
  <cp:keywords/>
  <dc:description/>
  <cp:lastModifiedBy>Michael.Riewer</cp:lastModifiedBy>
  <cp:revision>3</cp:revision>
  <cp:lastPrinted>2010-03-30T19:32:00Z</cp:lastPrinted>
  <dcterms:created xsi:type="dcterms:W3CDTF">2010-05-06T00:02:00Z</dcterms:created>
  <dcterms:modified xsi:type="dcterms:W3CDTF">2010-05-06T18:40:00Z</dcterms:modified>
</cp:coreProperties>
</file>